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estern"/>
        <w:spacing w:beforeAutospacing="0" w:before="120" w:after="12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Tableau synthétique des niveaux de garantie exigés</w:t>
      </w:r>
    </w:p>
    <w:p>
      <w:pPr>
        <w:pStyle w:val="Western"/>
        <w:spacing w:beforeAutospacing="0" w:before="0" w:after="20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tbl>
      <w:tblPr>
        <w:tblStyle w:val="Grilledutableau"/>
        <w:tblW w:w="155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79"/>
        <w:gridCol w:w="5179"/>
        <w:gridCol w:w="5180"/>
      </w:tblGrid>
      <w:tr>
        <w:trPr>
          <w:tblHeader w:val="true"/>
        </w:trPr>
        <w:tc>
          <w:tcPr>
            <w:tcW w:w="5179" w:type="dxa"/>
            <w:vMerge w:val="restart"/>
            <w:tcBorders/>
            <w:shd w:color="auto" w:fill="C6D9F1" w:themeFill="text2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fr-FR"/>
              </w:rPr>
              <w:t>Type de régime/procédure</w:t>
            </w:r>
          </w:p>
        </w:tc>
        <w:tc>
          <w:tcPr>
            <w:tcW w:w="10359" w:type="dxa"/>
            <w:gridSpan w:val="2"/>
            <w:tcBorders/>
            <w:shd w:color="auto" w:fill="C6D9F1" w:themeFill="text2" w:themeFillTint="33" w:val="clear"/>
            <w:tcMar>
              <w:left w:w="108" w:type="dxa"/>
            </w:tcMar>
          </w:tcPr>
          <w:p>
            <w:pPr>
              <w:pStyle w:val="Western"/>
              <w:spacing w:lineRule="auto" w:line="240" w:beforeAutospacing="0" w:before="120" w:after="0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Niveau de garantie</w:t>
            </w:r>
          </w:p>
        </w:tc>
      </w:tr>
      <w:tr>
        <w:trPr>
          <w:tblHeader w:val="true"/>
        </w:trPr>
        <w:tc>
          <w:tcPr>
            <w:tcW w:w="5179" w:type="dxa"/>
            <w:vMerge w:val="continue"/>
            <w:tcBorders/>
            <w:shd w:color="auto" w:fill="C6D9F1" w:themeFill="text2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5179" w:type="dxa"/>
            <w:tcBorders/>
            <w:shd w:color="auto" w:fill="C6D9F1" w:themeFill="text2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fr-FR"/>
              </w:rPr>
              <w:t>Taux de garantie</w:t>
            </w:r>
          </w:p>
        </w:tc>
        <w:tc>
          <w:tcPr>
            <w:tcW w:w="5180" w:type="dxa"/>
            <w:tcBorders/>
            <w:shd w:color="auto" w:fill="C6D9F1" w:themeFill="text2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fr-FR"/>
              </w:rPr>
              <w:t>Période de référence</w:t>
            </w:r>
          </w:p>
        </w:tc>
      </w:tr>
      <w:tr>
        <w:trPr/>
        <w:tc>
          <w:tcPr>
            <w:tcW w:w="51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  <w:t>Crédit d’enlèvement</w:t>
            </w:r>
          </w:p>
        </w:tc>
        <w:tc>
          <w:tcPr>
            <w:tcW w:w="51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fr-FR"/>
              </w:rPr>
              <w:t>100 %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  <w:t xml:space="preserve"> des droits et taxes en jeu</w:t>
            </w:r>
          </w:p>
        </w:tc>
        <w:tc>
          <w:tcPr>
            <w:tcW w:w="51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  <w:t>Durée du report de paiement sur un pic d’activité</w:t>
            </w:r>
          </w:p>
        </w:tc>
      </w:tr>
      <w:tr>
        <w:trPr/>
        <w:tc>
          <w:tcPr>
            <w:tcW w:w="5179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  <w:t>Dépôt temporaire</w:t>
            </w:r>
          </w:p>
        </w:tc>
        <w:tc>
          <w:tcPr>
            <w:tcW w:w="51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fr-FR"/>
              </w:rPr>
              <w:t>Cas 1 :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  <w:t xml:space="preserve"> IDT sur terminal portuaire ou aéroportuaire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  <w:t>relié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  <w:t xml:space="preserve"> à un CCS</w:t>
            </w:r>
            <w:hyperlink w:anchor="sdfootnote1sym">
              <w:r>
                <w:rPr>
                  <w:rStyle w:val="LienInternet"/>
                  <w:rFonts w:eastAsia="Times New Roman" w:cs="Times New Roman" w:ascii="Times New Roman" w:hAnsi="Times New Roman"/>
                  <w:color w:val="5770BE"/>
                  <w:sz w:val="24"/>
                  <w:szCs w:val="24"/>
                  <w:u w:val="single"/>
                  <w:vertAlign w:val="superscript"/>
                  <w:lang w:eastAsia="fr-FR"/>
                </w:rPr>
                <w:t>1</w:t>
              </w:r>
            </w:hyperlink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  <w:t> :</w:t>
            </w:r>
          </w:p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fr-FR"/>
              </w:rPr>
              <w:t>1%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 xml:space="preserve"> des droits et taxes en jeu sur la base du délai de séjour moyen en dépôt temporaire</w:t>
            </w:r>
          </w:p>
        </w:tc>
        <w:tc>
          <w:tcPr>
            <w:tcW w:w="51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Durée de stockage moyenne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  <w:t xml:space="preserve"> sur un pic d’activité</w:t>
            </w:r>
          </w:p>
        </w:tc>
      </w:tr>
      <w:tr>
        <w:trPr/>
        <w:tc>
          <w:tcPr>
            <w:tcW w:w="517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Western"/>
              <w:spacing w:lineRule="auto" w:line="240" w:beforeAutospacing="0" w:before="120" w:after="0"/>
              <w:rPr/>
            </w:pPr>
            <w:r>
              <w:rPr/>
            </w:r>
          </w:p>
        </w:tc>
        <w:tc>
          <w:tcPr>
            <w:tcW w:w="51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20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fr-FR"/>
              </w:rPr>
              <w:t>Cas 2 :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  <w:t xml:space="preserve"> IDT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  <w:t>non relié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  <w:t xml:space="preserve"> à un CCS (sur terminal ou hors terminal) :</w:t>
            </w:r>
          </w:p>
          <w:p>
            <w:pPr>
              <w:pStyle w:val="Western"/>
              <w:spacing w:beforeAutospacing="0" w:before="120" w:after="120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>10%</w:t>
            </w:r>
            <w:r>
              <w:rPr>
                <w:color w:val="000000"/>
                <w:sz w:val="24"/>
                <w:szCs w:val="24"/>
              </w:rPr>
              <w:t xml:space="preserve"> des droits et taxes en jeu</w:t>
            </w:r>
          </w:p>
        </w:tc>
        <w:tc>
          <w:tcPr>
            <w:tcW w:w="51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Durée de stockage moyenne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  <w:t xml:space="preserve"> sur un pic d’activité</w:t>
            </w:r>
          </w:p>
        </w:tc>
      </w:tr>
      <w:tr>
        <w:trPr/>
        <w:tc>
          <w:tcPr>
            <w:tcW w:w="517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Western"/>
              <w:spacing w:lineRule="auto" w:line="240" w:beforeAutospacing="0" w:before="120" w:after="0"/>
              <w:rPr/>
            </w:pPr>
            <w:r>
              <w:rPr/>
            </w:r>
          </w:p>
        </w:tc>
        <w:tc>
          <w:tcPr>
            <w:tcW w:w="51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20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fr-FR"/>
              </w:rPr>
              <w:t>Cas 3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  <w:t xml:space="preserve"> : IDT hors terminal portuaire ou aéroportuaire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fr-FR"/>
              </w:rPr>
              <w:t>relié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  <w:t xml:space="preserve"> à un CCS :</w:t>
            </w:r>
          </w:p>
          <w:p>
            <w:pPr>
              <w:pStyle w:val="Western"/>
              <w:spacing w:beforeAutospacing="0" w:before="120" w:after="120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>5%</w:t>
            </w:r>
            <w:r>
              <w:rPr>
                <w:color w:val="000000"/>
                <w:sz w:val="24"/>
                <w:szCs w:val="24"/>
              </w:rPr>
              <w:t xml:space="preserve"> des droits et taxes en</w:t>
            </w:r>
          </w:p>
        </w:tc>
        <w:tc>
          <w:tcPr>
            <w:tcW w:w="51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Durée de stockage moyenne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  <w:t xml:space="preserve"> sur un pic d’activité</w:t>
            </w:r>
          </w:p>
        </w:tc>
      </w:tr>
      <w:tr>
        <w:trPr/>
        <w:tc>
          <w:tcPr>
            <w:tcW w:w="517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Western"/>
              <w:spacing w:lineRule="auto" w:line="240" w:beforeAutospacing="0" w:before="120" w:after="0"/>
              <w:rPr/>
            </w:pPr>
            <w:r>
              <w:rPr/>
            </w:r>
          </w:p>
        </w:tc>
        <w:tc>
          <w:tcPr>
            <w:tcW w:w="51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20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fr-FR"/>
              </w:rPr>
              <w:t>Cas 4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  <w:t xml:space="preserve"> : IDT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fr-FR"/>
              </w:rPr>
              <w:t>non relié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  <w:t xml:space="preserve"> à un CCS effectuant des transferts entre MAD :</w:t>
            </w:r>
          </w:p>
          <w:p>
            <w:pPr>
              <w:pStyle w:val="Western"/>
              <w:spacing w:beforeAutospacing="0" w:before="120" w:after="120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>20%</w:t>
            </w:r>
            <w:r>
              <w:rPr>
                <w:color w:val="000000"/>
                <w:sz w:val="24"/>
                <w:szCs w:val="24"/>
              </w:rPr>
              <w:t xml:space="preserve"> des droits et taxes en jeu</w:t>
            </w:r>
          </w:p>
        </w:tc>
        <w:tc>
          <w:tcPr>
            <w:tcW w:w="51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Durée de stockage moyenne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  <w:t xml:space="preserve"> sur un pic d’activité</w:t>
            </w:r>
          </w:p>
        </w:tc>
      </w:tr>
      <w:tr>
        <w:trPr/>
        <w:tc>
          <w:tcPr>
            <w:tcW w:w="51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  <w:t>Entrepôt douanier</w:t>
            </w:r>
          </w:p>
        </w:tc>
        <w:tc>
          <w:tcPr>
            <w:tcW w:w="51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fr-FR"/>
              </w:rPr>
              <w:t>10%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 xml:space="preserve"> des droits et taxes en jeu</w:t>
            </w:r>
          </w:p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fr-FR"/>
              </w:rPr>
              <w:t>1%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 xml:space="preserve"> des droits et taxes en jeu pour l’entrepôt spécial de stockage des produits pétroliers</w:t>
            </w:r>
          </w:p>
        </w:tc>
        <w:tc>
          <w:tcPr>
            <w:tcW w:w="51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Durée de stockage moyenne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  <w:t xml:space="preserve"> sur un pic d’activité</w:t>
            </w:r>
          </w:p>
        </w:tc>
      </w:tr>
      <w:tr>
        <w:trPr/>
        <w:tc>
          <w:tcPr>
            <w:tcW w:w="51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12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  <w:t>Admission temporaire</w:t>
            </w:r>
          </w:p>
          <w:p>
            <w:pPr>
              <w:pStyle w:val="Normal"/>
              <w:spacing w:lineRule="auto" w:line="240" w:before="120" w:after="20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  <w:t>(sauf placement par déclaration verbale ou simplifiée - dispense)</w:t>
            </w:r>
          </w:p>
        </w:tc>
        <w:tc>
          <w:tcPr>
            <w:tcW w:w="51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fr-FR"/>
              </w:rPr>
              <w:t>100%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 xml:space="preserve"> des droits et taxes en jeu</w:t>
            </w:r>
          </w:p>
        </w:tc>
        <w:tc>
          <w:tcPr>
            <w:tcW w:w="51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Durée de placement moyenne sous le régime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  <w:t xml:space="preserve"> sur un pic d’activité</w:t>
            </w:r>
          </w:p>
        </w:tc>
      </w:tr>
      <w:tr>
        <w:trPr/>
        <w:tc>
          <w:tcPr>
            <w:tcW w:w="51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  <w:t>Perfectionnement actif</w:t>
            </w:r>
          </w:p>
        </w:tc>
        <w:tc>
          <w:tcPr>
            <w:tcW w:w="51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fr-FR"/>
              </w:rPr>
              <w:t>10%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 xml:space="preserve"> des droits et taxes en jeu</w:t>
            </w:r>
          </w:p>
        </w:tc>
        <w:tc>
          <w:tcPr>
            <w:tcW w:w="51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Durée de placement moyenne sous le régime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  <w:t xml:space="preserve"> sur un pic d’activité</w:t>
            </w:r>
          </w:p>
        </w:tc>
      </w:tr>
      <w:tr>
        <w:trPr/>
        <w:tc>
          <w:tcPr>
            <w:tcW w:w="51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12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  <w:t>Perfectionnement passif</w:t>
            </w:r>
          </w:p>
          <w:p>
            <w:pPr>
              <w:pStyle w:val="Normal"/>
              <w:spacing w:lineRule="auto" w:line="240" w:before="120" w:after="20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  <w:t>(si importation anticipée)</w:t>
            </w:r>
          </w:p>
        </w:tc>
        <w:tc>
          <w:tcPr>
            <w:tcW w:w="51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fr-FR"/>
              </w:rPr>
              <w:t>100%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  <w:t xml:space="preserve"> des droits et taxes en je</w:t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51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Durée de placement moyenne sous le régime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  <w:t xml:space="preserve"> sur un pic d’activité</w:t>
            </w:r>
          </w:p>
        </w:tc>
      </w:tr>
      <w:tr>
        <w:trPr/>
        <w:tc>
          <w:tcPr>
            <w:tcW w:w="51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  <w:t>D-48</w:t>
            </w:r>
          </w:p>
          <w:p>
            <w:pPr>
              <w:pStyle w:val="Western"/>
              <w:spacing w:beforeAutospacing="0" w:before="120" w:after="0"/>
              <w:rPr/>
            </w:pPr>
            <w:r>
              <w:rPr>
                <w:color w:val="000000"/>
                <w:sz w:val="24"/>
                <w:szCs w:val="24"/>
              </w:rPr>
              <w:t>(production ultérieure de document)</w:t>
            </w:r>
          </w:p>
        </w:tc>
        <w:tc>
          <w:tcPr>
            <w:tcW w:w="51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fr-FR"/>
              </w:rPr>
              <w:t>100%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  <w:t xml:space="preserve"> des droits et taxes en jeu pour chaque opération</w:t>
            </w:r>
          </w:p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fr-FR"/>
              </w:rPr>
              <w:t>10%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  <w:t xml:space="preserve"> de la valeur facture en l’absence de droits et taxes en jeu</w:t>
            </w:r>
          </w:p>
        </w:tc>
        <w:tc>
          <w:tcPr>
            <w:tcW w:w="5180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Western"/>
              <w:spacing w:lineRule="auto" w:line="240" w:beforeAutospacing="0" w:before="12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1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  <w:t>Indication de valeurs ou poids provisoires</w:t>
            </w:r>
          </w:p>
        </w:tc>
        <w:tc>
          <w:tcPr>
            <w:tcW w:w="51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fr-FR"/>
              </w:rPr>
              <w:t>100%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fr-FR"/>
              </w:rPr>
              <w:t xml:space="preserve"> des droits et taxes en jeu</w:t>
            </w:r>
          </w:p>
        </w:tc>
        <w:tc>
          <w:tcPr>
            <w:tcW w:w="5180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Western"/>
              <w:spacing w:lineRule="auto" w:line="240" w:beforeAutospacing="0" w:before="12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Autospacing="1" w:after="0"/>
        <w:rPr/>
      </w:pPr>
      <w:hyperlink w:anchor="sdfootnote1anc">
        <w:bookmarkStart w:id="1" w:name="sdfootnote1sym"/>
        <w:r>
          <w:rPr>
            <w:rStyle w:val="LienInternet"/>
            <w:rFonts w:eastAsia="Times New Roman" w:cs="Times New Roman" w:ascii="Times New Roman" w:hAnsi="Times New Roman"/>
            <w:i/>
            <w:iCs/>
            <w:color w:val="5770BE"/>
            <w:sz w:val="15"/>
            <w:szCs w:val="15"/>
            <w:u w:val="single"/>
            <w:lang w:eastAsia="fr-FR"/>
          </w:rPr>
          <w:t>1</w:t>
        </w:r>
      </w:hyperlink>
      <w:bookmarkEnd w:id="1"/>
      <w:r>
        <w:rPr>
          <w:rFonts w:eastAsia="Times New Roman" w:cs="Times New Roman" w:ascii="Times New Roman" w:hAnsi="Times New Roman"/>
          <w:i/>
          <w:iCs/>
          <w:sz w:val="15"/>
          <w:szCs w:val="15"/>
          <w:lang w:eastAsia="fr-FR"/>
        </w:rPr>
        <w:t xml:space="preserve"> CCS : Cargo Community System : système d’information portuaire ou aéroportuaire de suivi logistique des marchandises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720" w:right="720" w:header="708" w:top="765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jc w:val="center"/>
      <w:rPr/>
    </w:pPr>
    <w:r>
      <w:rPr/>
      <w:t>Annexe 4</w:t>
    </w:r>
  </w:p>
</w:hdr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semiHidden/>
    <w:unhideWhenUsed/>
    <w:rsid w:val="006f68b0"/>
    <w:rPr>
      <w:color w:val="5770BE"/>
      <w:u w:val="single"/>
    </w:rPr>
  </w:style>
  <w:style w:type="character" w:styleId="EntteCar" w:customStyle="1">
    <w:name w:val="En-tête Car"/>
    <w:basedOn w:val="DefaultParagraphFont"/>
    <w:link w:val="En-tte"/>
    <w:uiPriority w:val="99"/>
    <w:qFormat/>
    <w:rsid w:val="006f68b0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6f68b0"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b03ba9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Sdfootnote" w:customStyle="1">
    <w:name w:val="sdfootnote"/>
    <w:basedOn w:val="Normal"/>
    <w:qFormat/>
    <w:rsid w:val="006f68b0"/>
    <w:pPr>
      <w:spacing w:lineRule="auto" w:line="240" w:beforeAutospacing="1" w:after="0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Western1" w:customStyle="1">
    <w:name w:val="western1"/>
    <w:basedOn w:val="Normal"/>
    <w:qFormat/>
    <w:rsid w:val="006f68b0"/>
    <w:pPr>
      <w:spacing w:lineRule="auto" w:line="240" w:beforeAutospacing="1" w:after="0"/>
    </w:pPr>
    <w:rPr>
      <w:rFonts w:ascii="Times New Roman" w:hAnsi="Times New Roman" w:eastAsia="Times New Roman" w:cs="Times New Roman"/>
      <w:sz w:val="20"/>
      <w:szCs w:val="20"/>
      <w:lang w:eastAsia="fr-FR"/>
    </w:rPr>
  </w:style>
  <w:style w:type="paragraph" w:styleId="Entte">
    <w:name w:val="Header"/>
    <w:basedOn w:val="Normal"/>
    <w:link w:val="En-tteCar"/>
    <w:uiPriority w:val="99"/>
    <w:unhideWhenUsed/>
    <w:rsid w:val="006f68b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6f68b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Western" w:customStyle="1">
    <w:name w:val="western"/>
    <w:basedOn w:val="Normal"/>
    <w:qFormat/>
    <w:rsid w:val="006f68b0"/>
    <w:pPr>
      <w:spacing w:lineRule="auto" w:line="240" w:beforeAutospacing="1" w:after="0"/>
      <w:jc w:val="both"/>
    </w:pPr>
    <w:rPr>
      <w:rFonts w:ascii="Times New Roman" w:hAnsi="Times New Roman" w:eastAsia="Times New Roman" w:cs="Times New Roman"/>
      <w:sz w:val="20"/>
      <w:szCs w:val="20"/>
      <w:lang w:eastAsia="fr-FR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b03ba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305f87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LibreOffice/5.4.4.1$Windows_x86 LibreOffice_project/da790616461e15a10c95a80eb8ef8ee7b726c114</Application>
  <Pages>2</Pages>
  <Words>332</Words>
  <Characters>1559</Characters>
  <CharactersWithSpaces>1847</CharactersWithSpaces>
  <Paragraphs>44</Paragraphs>
  <Company>DGDDI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2022-02-16T16:30:47Z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DGDDI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